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リスク計画書</w:t>
      </w:r>
    </w:p>
    <w:p w:rsidR="00000000" w:rsidDel="00000000" w:rsidP="00000000" w:rsidRDefault="00000000" w:rsidRPr="00000000" w14:paraId="00000002">
      <w:pPr>
        <w:ind w:left="720" w:firstLine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更新日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：2024年6月19日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プロジェクト演習D・E　A08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プロジェクト概要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：GISを用いた公園樹木等維持管理支援システム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プロジェクトメンバー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氏名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役職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越中こころ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c2p31035@bunkyo.ac.jp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上田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昴河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プログラマ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内藤蒼紫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プログラマ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c2p31075@bunkyo.ac.jp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大谷友香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c2p31017@bunkyo.ac.jp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大場愛佳音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c2p31019@bunkyo.ac.jp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杉山智規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デザイナー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c2p31048@bunkyo.ac.jp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2.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リスク計画方針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プロジェクト全体を通じて、全ての関係者がリスク管理に関与し、積極的にリスクの識別、評価、対策を行う。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リスクは定期的にレビューされ、必要に応じて対応策が更新される。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リスク情報はプロジェクトチーム内で共有され、適切なコミュニケーションが図られる。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リスクの発生を防ぐための予防措置を重視し、早期発見と早期対策を行う。</w:t>
      </w:r>
    </w:p>
    <w:p w:rsidR="00000000" w:rsidDel="00000000" w:rsidP="00000000" w:rsidRDefault="00000000" w:rsidRPr="00000000" w14:paraId="00000023">
      <w:pPr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3.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リスク管理の目的</w:t>
      </w:r>
    </w:p>
    <w:p w:rsidR="00000000" w:rsidDel="00000000" w:rsidP="00000000" w:rsidRDefault="00000000" w:rsidRPr="00000000" w14:paraId="00000025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プロジェクトの成功を確保するため、潜在的なリスクを識別し、評価し、対策を講じる事を目的とする。</w:t>
      </w:r>
    </w:p>
    <w:p w:rsidR="00000000" w:rsidDel="00000000" w:rsidP="00000000" w:rsidRDefault="00000000" w:rsidRPr="00000000" w14:paraId="00000026">
      <w:pPr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4.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リスク管理プロセス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リスク評価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144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影響度評価(I)の基準</w:t>
        <w:br w:type="textWrapping"/>
        <w:t xml:space="preserve">・３：プロジェクトの主要な成果物に大きな影響を与える</w:t>
        <w:br w:type="textWrapping"/>
        <w:t xml:space="preserve">・２：プロジェクトの進捗に影響を与えるが、成果物には限定的な影響</w:t>
        <w:br w:type="textWrapping"/>
        <w:t xml:space="preserve">・１：プロジェクトに小さな影響しか与えない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144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発生確率(P)の基準</w:t>
        <w:br w:type="textWrapping"/>
        <w:t xml:space="preserve">・３：リスクが発生する可能性が非常に高い</w:t>
      </w:r>
    </w:p>
    <w:p w:rsidR="00000000" w:rsidDel="00000000" w:rsidP="00000000" w:rsidRDefault="00000000" w:rsidRPr="00000000" w14:paraId="0000002B">
      <w:pPr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・２：リスクが発生する可能性がある</w:t>
        <w:br w:type="textWrapping"/>
        <w:t xml:space="preserve">・１：リスクが発生する可能性が低い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重要度(I×P)の基準</w:t>
      </w:r>
    </w:p>
    <w:p w:rsidR="00000000" w:rsidDel="00000000" w:rsidP="00000000" w:rsidRDefault="00000000" w:rsidRPr="00000000" w14:paraId="0000002D">
      <w:pPr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・7~9：リスクの重要度が高い</w:t>
      </w:r>
    </w:p>
    <w:p w:rsidR="00000000" w:rsidDel="00000000" w:rsidP="00000000" w:rsidRDefault="00000000" w:rsidRPr="00000000" w14:paraId="0000002E">
      <w:pPr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・4~6：リスクの重要度がある</w:t>
      </w:r>
    </w:p>
    <w:p w:rsidR="00000000" w:rsidDel="00000000" w:rsidP="00000000" w:rsidRDefault="00000000" w:rsidRPr="00000000" w14:paraId="0000002F">
      <w:pPr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・1~3：リスクの重要度が低い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sz w:val="23"/>
          <w:szCs w:val="23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リスク重要度尺度</w:t>
      </w:r>
    </w:p>
    <w:p w:rsidR="00000000" w:rsidDel="00000000" w:rsidP="00000000" w:rsidRDefault="00000000" w:rsidRPr="00000000" w14:paraId="00000031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25"/>
        <w:gridCol w:w="2077.25"/>
        <w:gridCol w:w="2077.25"/>
        <w:gridCol w:w="2077.25"/>
        <w:tblGridChange w:id="0">
          <w:tblGrid>
            <w:gridCol w:w="2077.25"/>
            <w:gridCol w:w="2077.25"/>
            <w:gridCol w:w="2077.25"/>
            <w:gridCol w:w="2077.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リスク影響度区分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1~3(低)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4~6(中)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7~9(高)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コスト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コストを10%未満超過する可能性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コストを10~20%超過する可能性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コストを20%以上超過する可能性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タイム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作業時間が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5%未満の延長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作業時間が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5~10%の延長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作業時間が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10%以上の延長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スコープ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スコープにわずかな変更が必要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スコープに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一部変更が必要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スコープに大幅な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変更が必要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shd w:fill="a4c2f4" w:val="clear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shd w:fill="a4c2f4" w:val="clear"/>
                <w:rtl w:val="0"/>
              </w:rPr>
              <w:t xml:space="preserve">品質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クライアントの満足度にわずかな影響しか与えない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クライアントの満足度が一時的に低下する可能性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3"/>
                <w:szCs w:val="23"/>
                <w:highlight w:val="white"/>
                <w:rtl w:val="0"/>
              </w:rPr>
              <w:t xml:space="preserve">クライアントの満足度が大幅に低下する可能性</w:t>
            </w:r>
          </w:p>
        </w:tc>
      </w:tr>
    </w:tbl>
    <w:p w:rsidR="00000000" w:rsidDel="00000000" w:rsidP="00000000" w:rsidRDefault="00000000" w:rsidRPr="00000000" w14:paraId="0000004B">
      <w:pPr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highlight w:val="white"/>
          <w:rtl w:val="0"/>
        </w:rPr>
        <w:t xml:space="preserve">リスク対応計画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3"/>
          <w:szCs w:val="23"/>
          <w:highlight w:val="white"/>
          <w:rtl w:val="0"/>
        </w:rPr>
        <w:t xml:space="preserve">・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回避：リスクの発生防ぐ行動</w:t>
        <w:br w:type="textWrapping"/>
        <w:t xml:space="preserve">・軽減：リスクの影響を最小限に抑える行動</w:t>
        <w:br w:type="textWrapping"/>
        <w:t xml:space="preserve">・転嫁：リスクを第三者に移転する行動</w:t>
        <w:br w:type="textWrapping"/>
        <w:t xml:space="preserve">・受容：リスク受け入れ、発生した場合に対処する行動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リスク監視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・定期的なリスクレビューと更新の実施</w:t>
        <w:br w:type="textWrapping"/>
        <w:t xml:space="preserve">・リスク状況の継続的な監視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　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リスク評価・対応表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a.　プロジェクトの立ち上げに関するリスクとその対応</w:t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9.0603773305385"/>
        <w:gridCol w:w="1358.4966037288614"/>
        <w:gridCol w:w="849.0603773305385"/>
        <w:gridCol w:w="849.0603773305385"/>
        <w:gridCol w:w="849.0603773305385"/>
        <w:gridCol w:w="4270.773697972609"/>
        <w:tblGridChange w:id="0">
          <w:tblGrid>
            <w:gridCol w:w="849.0603773305385"/>
            <w:gridCol w:w="1358.4966037288614"/>
            <w:gridCol w:w="849.0603773305385"/>
            <w:gridCol w:w="849.0603773305385"/>
            <w:gridCol w:w="849.0603773305385"/>
            <w:gridCol w:w="4270.773697972609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ミーティング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遅刻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PMに連絡を行う。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欠席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PMに連絡を行い、</w:t>
            </w:r>
          </w:p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理由を伝える。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病欠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PMに連絡。参加できない期間を伝える。</w:t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状況に応じて、タスクの移譲を行う。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居眠り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お互いに起こす。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失踪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担当教員に相談。PMが役割を担う。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予定が合わない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こまめな予定共有を行う。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PCの破損、USBの破損、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ストレージの破損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Googleドライブ等の共有フォルダを作成。メンバー全員で管理できるようにする。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プロジェクトの明確な</w:t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目標が定まらない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プロジェクト当初から目標を明らかにしておく。</w:t>
            </w:r>
          </w:p>
        </w:tc>
      </w:tr>
    </w:tbl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b.　プロジェクトの計画に関するリスクとその対応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7.5282437521398"/>
        <w:gridCol w:w="1692.2834645669295"/>
        <w:gridCol w:w="817.5282437521398"/>
        <w:gridCol w:w="817.5282437521398"/>
        <w:gridCol w:w="768.4765491270115"/>
        <w:gridCol w:w="4112.167066073263"/>
        <w:tblGridChange w:id="0">
          <w:tblGrid>
            <w:gridCol w:w="817.5282437521398"/>
            <w:gridCol w:w="1692.2834645669295"/>
            <w:gridCol w:w="817.5282437521398"/>
            <w:gridCol w:w="817.5282437521398"/>
            <w:gridCol w:w="768.4765491270115"/>
            <w:gridCol w:w="4112.1670660732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書類作成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書類不備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作成された書類を全員で確認し、</w:t>
            </w:r>
          </w:p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不備がないかを確かめる。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タスク完了に必要な時間を</w:t>
            </w:r>
          </w:p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あらかじめ多めに見積もっておく。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担当する人員を追加する。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技術検証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技術不足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情報収集と個人の学習を行う。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使用していた機能が使えなくなる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代わりを探す。</w:t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c.　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プロジェクトの業務調査に関するリスクとその対応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2520"/>
        <w:gridCol w:w="1140"/>
        <w:gridCol w:w="1950"/>
        <w:gridCol w:w="1410"/>
        <w:gridCol w:w="1110"/>
        <w:tblGridChange w:id="0">
          <w:tblGrid>
            <w:gridCol w:w="900"/>
            <w:gridCol w:w="2520"/>
            <w:gridCol w:w="1140"/>
            <w:gridCol w:w="1950"/>
            <w:gridCol w:w="1410"/>
            <w:gridCol w:w="11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対応種別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業務調査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クライアントの業務が不明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調査した内容が不完全または不正確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先行事例調査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先行事例が存在しない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先行事例画は存在するが、詳細が不明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類似システム調査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類似システムが存在しない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ind w:left="-9020" w:right="-90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類似システムは存在するが、</w:t>
            </w:r>
          </w:p>
          <w:p w:rsidR="00000000" w:rsidDel="00000000" w:rsidP="00000000" w:rsidRDefault="00000000" w:rsidRPr="00000000" w14:paraId="000000E3">
            <w:pPr>
              <w:widowControl w:val="0"/>
              <w:ind w:left="-9020" w:right="-90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詳細が不明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d.　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プロジェクトの開発に関するリスクとその対応</w:t>
      </w:r>
    </w:p>
    <w:p w:rsidR="00000000" w:rsidDel="00000000" w:rsidP="00000000" w:rsidRDefault="00000000" w:rsidRPr="00000000" w14:paraId="000000E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.0961695863763"/>
        <w:gridCol w:w="1701.8289796772988"/>
        <w:gridCol w:w="727.2773417424354"/>
        <w:gridCol w:w="727.2773417424354"/>
        <w:gridCol w:w="683.6407012378892"/>
        <w:gridCol w:w="698.186248072738"/>
        <w:gridCol w:w="3658.2050289644503"/>
        <w:tblGridChange w:id="0">
          <w:tblGrid>
            <w:gridCol w:w="829.0961695863763"/>
            <w:gridCol w:w="1701.8289796772988"/>
            <w:gridCol w:w="727.2773417424354"/>
            <w:gridCol w:w="727.2773417424354"/>
            <w:gridCol w:w="683.6407012378892"/>
            <w:gridCol w:w="698.186248072738"/>
            <w:gridCol w:w="3658.205028964450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システム設計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システムが動作しない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受容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エラー部分を速やかに特定、解決する。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ライブラリの破損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ライブラリの普及を行う。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タスクに必要な時間を多めに見積もる。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担当する人員を追加する。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フロントエンド設計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技術不足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追加の学習を行う。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タスクに必要な時間を多めに見積もる。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遅延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担当する人員を追加する。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環境構築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開発環境がメンバーによって異なる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回避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開発を始める前に、メンバー全体で環境の統一を行う。</w:t>
            </w:r>
          </w:p>
        </w:tc>
      </w:tr>
    </w:tbl>
    <w:p w:rsidR="00000000" w:rsidDel="00000000" w:rsidP="00000000" w:rsidRDefault="00000000" w:rsidRPr="00000000" w14:paraId="0000012C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e.　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プロジェクトのテストに関するリスクとその対応</w:t>
      </w:r>
    </w:p>
    <w:p w:rsidR="00000000" w:rsidDel="00000000" w:rsidP="00000000" w:rsidRDefault="00000000" w:rsidRPr="00000000" w14:paraId="0000013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.0961695863763"/>
        <w:gridCol w:w="1701.8289796772988"/>
        <w:gridCol w:w="727.2773417424354"/>
        <w:gridCol w:w="727.2773417424354"/>
        <w:gridCol w:w="683.6407012378892"/>
        <w:gridCol w:w="698.186248072738"/>
        <w:gridCol w:w="3658.2050289644503"/>
        <w:tblGridChange w:id="0">
          <w:tblGrid>
            <w:gridCol w:w="829.0961695863763"/>
            <w:gridCol w:w="1701.8289796772988"/>
            <w:gridCol w:w="727.2773417424354"/>
            <w:gridCol w:w="727.2773417424354"/>
            <w:gridCol w:w="683.6407012378892"/>
            <w:gridCol w:w="698.186248072738"/>
            <w:gridCol w:w="3658.205028964450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プログラム検証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プログラム実行時のエラー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受容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エラーの内容を理解し、修正作業を行う。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UIが想定したものと違う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PMに作成した画面を確認してもらい、認識に齟齬がないようにする。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バグの未検出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軽減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テスト回数を増やす。</w:t>
            </w:r>
          </w:p>
        </w:tc>
      </w:tr>
    </w:tbl>
    <w:p w:rsidR="00000000" w:rsidDel="00000000" w:rsidP="00000000" w:rsidRDefault="00000000" w:rsidRPr="00000000" w14:paraId="0000014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f.　プロジェクトのテストに関するリスクとその対応</w:t>
      </w:r>
    </w:p>
    <w:p w:rsidR="00000000" w:rsidDel="00000000" w:rsidP="00000000" w:rsidRDefault="00000000" w:rsidRPr="00000000" w14:paraId="0000015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9.0961695863763"/>
        <w:gridCol w:w="1701.8289796772988"/>
        <w:gridCol w:w="727.2773417424354"/>
        <w:gridCol w:w="727.2773417424354"/>
        <w:gridCol w:w="683.6407012378892"/>
        <w:gridCol w:w="698.186248072738"/>
        <w:gridCol w:w="3658.2050289644503"/>
        <w:tblGridChange w:id="0">
          <w:tblGrid>
            <w:gridCol w:w="829.0961695863763"/>
            <w:gridCol w:w="1701.8289796772988"/>
            <w:gridCol w:w="727.2773417424354"/>
            <w:gridCol w:w="727.2773417424354"/>
            <w:gridCol w:w="683.6407012378892"/>
            <w:gridCol w:w="698.186248072738"/>
            <w:gridCol w:w="3658.205028964450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作業項目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リスク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発生率（I）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影響度（P）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重要度（I×P）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対応種別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対応内容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ステークホルダー</w:t>
            </w:r>
          </w:p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の特定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クライアントと連絡が取れなくなる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受容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プロジェクトを終了する。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相模原市が行っている</w:t>
            </w:r>
          </w:p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公園管理内容が大幅に変更される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１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受容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管理内容を再確認し、プロジェクトの再構築を行う。</w:t>
            </w:r>
          </w:p>
        </w:tc>
      </w:tr>
    </w:tbl>
    <w:p w:rsidR="00000000" w:rsidDel="00000000" w:rsidP="00000000" w:rsidRDefault="00000000" w:rsidRPr="00000000" w14:paraId="00000169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